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false"/>
        <w:rPr>
          <w:rFonts w:ascii="Times New Roman" w:hAnsi="Times New Roman" w:eastAsia="Times New Roman"/>
          <w:kern w:val="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widowControl/>
        <w:suppressAutoHyphens w:val="false"/>
        <w:jc w:val="right"/>
        <w:rPr>
          <w:rFonts w:ascii="Times New Roman" w:hAnsi="Times New Roman" w:eastAsia="Times New Roman"/>
          <w:kern w:val="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 xml:space="preserve">Приложение № 1 </w:t>
      </w:r>
    </w:p>
    <w:p>
      <w:pPr>
        <w:pStyle w:val="Normal"/>
        <w:widowControl/>
        <w:suppressAutoHyphens w:val="false"/>
        <w:jc w:val="right"/>
        <w:rPr>
          <w:rFonts w:ascii="Times New Roman" w:hAnsi="Times New Roman" w:eastAsia="Times New Roman"/>
          <w:kern w:val="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>к</w:t>
      </w:r>
      <w:r>
        <w:rPr/>
        <w:t xml:space="preserve"> </w:t>
      </w: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 xml:space="preserve">Порядку проведения мониторинга </w:t>
      </w:r>
    </w:p>
    <w:p>
      <w:pPr>
        <w:pStyle w:val="Normal"/>
        <w:widowControl/>
        <w:suppressAutoHyphens w:val="false"/>
        <w:jc w:val="right"/>
        <w:rPr>
          <w:rFonts w:ascii="Times New Roman" w:hAnsi="Times New Roman" w:eastAsia="Times New Roman"/>
          <w:kern w:val="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 xml:space="preserve">доступности объектов в приоритетных </w:t>
      </w:r>
    </w:p>
    <w:p>
      <w:pPr>
        <w:pStyle w:val="Normal"/>
        <w:widowControl/>
        <w:suppressAutoHyphens w:val="false"/>
        <w:jc w:val="right"/>
        <w:rPr>
          <w:rFonts w:ascii="Times New Roman" w:hAnsi="Times New Roman" w:eastAsia="Times New Roman"/>
          <w:kern w:val="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>сферах жизнедеятельности инвалидов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jc w:val="center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jc w:val="center"/>
        <w:rPr>
          <w:rFonts w:ascii="Times New Roman" w:hAnsi="Times New Roman" w:eastAsia="Times New Roman"/>
          <w:kern w:val="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 xml:space="preserve">ИТОГИ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jc w:val="center"/>
        <w:rPr>
          <w:rFonts w:ascii="Times New Roman" w:hAnsi="Times New Roman" w:eastAsia="Times New Roman"/>
          <w:kern w:val="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 xml:space="preserve">мониторинга доступности по объектам, включенным в Перечень приоритетных объектов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jc w:val="center"/>
        <w:rPr>
          <w:rFonts w:ascii="Times New Roman" w:hAnsi="Times New Roman" w:eastAsia="Times New Roman"/>
          <w:kern w:val="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>находящихся в муниципальной собственности, и услуг в приоритетных сферах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jc w:val="center"/>
        <w:rPr>
          <w:rFonts w:ascii="Times New Roman" w:hAnsi="Times New Roman" w:eastAsia="Times New Roman"/>
          <w:kern w:val="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>жизнедеятельности инвалидов в сфере</w:t>
      </w:r>
      <w:r>
        <w:rPr>
          <w:rFonts w:eastAsia="Times New Roman" w:ascii="Times New Roman" w:hAnsi="Times New Roman"/>
          <w:kern w:val="0"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 w:ascii="Times New Roman" w:hAnsi="Times New Roman"/>
          <w:kern w:val="0"/>
          <w:sz w:val="28"/>
          <w:szCs w:val="28"/>
          <w:u w:val="single"/>
          <w:lang w:eastAsia="ru-RU"/>
        </w:rPr>
        <w:t>дошкольного образования</w:t>
      </w: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 xml:space="preserve"> за</w:t>
      </w:r>
      <w:r>
        <w:rPr>
          <w:rFonts w:eastAsia="Times New Roman" w:ascii="Times New Roman" w:hAnsi="Times New Roman"/>
          <w:kern w:val="0"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 w:ascii="Times New Roman" w:hAnsi="Times New Roman"/>
          <w:kern w:val="0"/>
          <w:sz w:val="28"/>
          <w:szCs w:val="28"/>
          <w:u w:val="single"/>
          <w:lang w:eastAsia="ru-RU"/>
        </w:rPr>
        <w:t xml:space="preserve">2024 </w:t>
      </w:r>
      <w:r>
        <w:rPr>
          <w:rFonts w:eastAsia="Times New Roman" w:ascii="Times New Roman" w:hAnsi="Times New Roman"/>
          <w:kern w:val="0"/>
          <w:sz w:val="28"/>
          <w:szCs w:val="28"/>
          <w:lang w:eastAsia="ru-RU"/>
        </w:rPr>
        <w:t>год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jc w:val="center"/>
        <w:rPr>
          <w:rFonts w:ascii="Times New Roman" w:hAnsi="Times New Roman" w:eastAsia="Times New Roman"/>
          <w:kern w:val="0"/>
          <w:sz w:val="24"/>
          <w:lang w:eastAsia="ru-RU"/>
        </w:rPr>
      </w:pPr>
      <w:r>
        <w:rPr>
          <w:rFonts w:eastAsia="Times New Roman" w:ascii="Times New Roman" w:hAnsi="Times New Roman"/>
          <w:kern w:val="0"/>
          <w:sz w:val="24"/>
          <w:lang w:eastAsia="ru-RU"/>
        </w:rPr>
        <w:t xml:space="preserve">                                                </w:t>
      </w:r>
      <w:r>
        <w:rPr>
          <w:rFonts w:eastAsia="Times New Roman" w:ascii="Times New Roman" w:hAnsi="Times New Roman"/>
          <w:kern w:val="0"/>
          <w:sz w:val="24"/>
          <w:lang w:eastAsia="ru-RU"/>
        </w:rPr>
        <w:t>(указывается приоритетная сфера)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jc w:val="center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firstRow="1" w:noVBand="1" w:lastRow="0" w:firstColumn="1" w:lastColumn="0" w:noHBand="0" w:val="04a0"/>
      </w:tblPr>
      <w:tblGrid>
        <w:gridCol w:w="346"/>
        <w:gridCol w:w="1198"/>
        <w:gridCol w:w="935"/>
        <w:gridCol w:w="1358"/>
        <w:gridCol w:w="1094"/>
        <w:gridCol w:w="870"/>
        <w:gridCol w:w="452"/>
        <w:gridCol w:w="485"/>
        <w:gridCol w:w="487"/>
        <w:gridCol w:w="486"/>
        <w:gridCol w:w="573"/>
        <w:gridCol w:w="835"/>
        <w:gridCol w:w="660"/>
        <w:gridCol w:w="485"/>
        <w:gridCol w:w="488"/>
        <w:gridCol w:w="487"/>
        <w:gridCol w:w="457"/>
        <w:gridCol w:w="851"/>
        <w:gridCol w:w="979"/>
        <w:gridCol w:w="1040"/>
      </w:tblGrid>
      <w:tr>
        <w:trPr>
          <w:trHeight w:val="330" w:hRule="atLeast"/>
        </w:trPr>
        <w:tc>
          <w:tcPr>
            <w:tcW w:w="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№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п/п</w:t>
            </w:r>
          </w:p>
        </w:tc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Наименование объекта</w:t>
            </w:r>
          </w:p>
        </w:tc>
        <w:tc>
          <w:tcPr>
            <w:tcW w:w="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Адрес</w:t>
            </w:r>
          </w:p>
        </w:tc>
        <w:tc>
          <w:tcPr>
            <w:tcW w:w="13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Год проведения работ по адаптации и дооборудованию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Вариант организации доступности</w:t>
            </w:r>
          </w:p>
        </w:tc>
        <w:tc>
          <w:tcPr>
            <w:tcW w:w="859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Состояние доступности</w:t>
            </w:r>
          </w:p>
        </w:tc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Примечание</w:t>
            </w:r>
          </w:p>
        </w:tc>
      </w:tr>
      <w:tr>
        <w:trPr>
          <w:trHeight w:val="540" w:hRule="atLeast"/>
        </w:trPr>
        <w:tc>
          <w:tcPr>
            <w:tcW w:w="3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3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0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доступен полностью всем</w:t>
            </w:r>
          </w:p>
        </w:tc>
        <w:tc>
          <w:tcPr>
            <w:tcW w:w="24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доступен полностью избирательно</w:t>
            </w:r>
          </w:p>
        </w:tc>
        <w:tc>
          <w:tcPr>
            <w:tcW w:w="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доступен частично всем</w:t>
            </w:r>
          </w:p>
        </w:tc>
        <w:tc>
          <w:tcPr>
            <w:tcW w:w="2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доступен частично избирательно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доступен условно</w:t>
            </w:r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временно недоступен</w:t>
            </w:r>
          </w:p>
        </w:tc>
        <w:tc>
          <w:tcPr>
            <w:tcW w:w="10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</w:tr>
      <w:tr>
        <w:trPr>
          <w:trHeight w:val="420" w:hRule="atLeast"/>
        </w:trPr>
        <w:tc>
          <w:tcPr>
            <w:tcW w:w="3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3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0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8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С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Г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О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К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У</w:t>
            </w:r>
          </w:p>
        </w:tc>
        <w:tc>
          <w:tcPr>
            <w:tcW w:w="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Г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К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О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С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У</w:t>
            </w:r>
          </w:p>
        </w:tc>
        <w:tc>
          <w:tcPr>
            <w:tcW w:w="8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9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0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</w:tr>
    </w:tbl>
    <w:p>
      <w:pPr>
        <w:pStyle w:val="Normal"/>
        <w:widowControl/>
        <w:suppressAutoHyphens w:val="false"/>
        <w:rPr>
          <w:rFonts w:ascii="Times New Roman" w:hAnsi="Times New Roman" w:eastAsia="Times New Roman"/>
          <w:kern w:val="0"/>
          <w:sz w:val="2"/>
          <w:szCs w:val="2"/>
          <w:lang w:eastAsia="ru-RU"/>
        </w:rPr>
      </w:pPr>
      <w:r>
        <w:rPr>
          <w:rFonts w:eastAsia="Times New Roman" w:ascii="Times New Roman" w:hAnsi="Times New Roman"/>
          <w:kern w:val="0"/>
          <w:sz w:val="2"/>
          <w:szCs w:val="2"/>
          <w:lang w:eastAsia="ru-RU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firstRow="1" w:noVBand="1" w:lastRow="0" w:firstColumn="1" w:lastColumn="0" w:noHBand="0" w:val="04a0"/>
      </w:tblPr>
      <w:tblGrid>
        <w:gridCol w:w="346"/>
        <w:gridCol w:w="1198"/>
        <w:gridCol w:w="935"/>
        <w:gridCol w:w="1358"/>
        <w:gridCol w:w="1094"/>
        <w:gridCol w:w="870"/>
        <w:gridCol w:w="452"/>
        <w:gridCol w:w="485"/>
        <w:gridCol w:w="487"/>
        <w:gridCol w:w="486"/>
        <w:gridCol w:w="573"/>
        <w:gridCol w:w="835"/>
        <w:gridCol w:w="660"/>
        <w:gridCol w:w="485"/>
        <w:gridCol w:w="488"/>
        <w:gridCol w:w="487"/>
        <w:gridCol w:w="457"/>
        <w:gridCol w:w="851"/>
        <w:gridCol w:w="979"/>
        <w:gridCol w:w="1040"/>
      </w:tblGrid>
      <w:tr>
        <w:trPr>
          <w:trHeight w:val="300" w:hRule="atLeast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3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5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6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7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8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9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10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11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13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15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16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18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19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Муниципальное бюджетное дошкольное образовательное учреждение детский сад комбинированного № 15 города Каменск-Шахтинский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347820, Ростовская обл., г. Каменск-Шахтинский, мкр. Лиховской, ул. Вокзальная, 110А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А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+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+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+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  <w:t>-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Calibri" w:hAnsi="Calibri"/>
                <w:color w:val="000000"/>
                <w:kern w:val="0"/>
                <w:sz w:val="24"/>
                <w:lang w:eastAsia="ru-RU"/>
              </w:rPr>
            </w:r>
          </w:p>
        </w:tc>
      </w:tr>
    </w:tbl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left="6237" w:hanging="0"/>
        <w:jc w:val="center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Примечание.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Используемые обозначения: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Г – инвалиды с нарушением функции слуха;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К – инвалиды-колясочники;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О – инвалиды с заболеванием опорно-двигательного аппарата;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С – инвалиды с нарушением функций зрения;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У – инвалиды с нарушением умственного развития.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Рекомендации по заполнению: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в графе 2 указывается полное наименование объекта;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в графе 4 указывается год проведения работ по адаптации, направленных на создание условий для беспрепятственного доступа инвалидов на объект. В случае, если работы проводились несколько лет, указывается год окончания проведения работ;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в графе 5 указывается один из двух вариантов организации доступности (не учитывая обслуживания на дому): вариант «А» – доступность для инвалидов любого места обслуживания в общественном здании; вариант «Б» – выделение в уровне входной площадки специальных помещений, зон или блоков, приспособленных и оборудованных для инвалидов;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в графах 6 – 19 указывается «+» или «–». Состояние доступности определяется в соответствии с технологией оценки состояния доступности и классификацией объектов социальной инфраструктуры и услуг в приоритетных сферах жизнедеятельности инвалидов и других маломобильных групп населения, утвержденной Приказом Минтруда России от 25.12.2012 № 627 «Об утверждении методики,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возможностью учета региональной специфики»;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в графе 20 указывается иная информация, характеризующая состояние доступности объекта для инвалидов.</w:t>
      </w:r>
      <w:r>
        <w:br w:type="page"/>
      </w:r>
    </w:p>
    <w:p>
      <w:pPr>
        <w:pStyle w:val="Normal"/>
        <w:widowControl/>
        <w:suppressAutoHyphens w:val="false"/>
        <w:jc w:val="right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Приложение № 2 </w:t>
      </w:r>
    </w:p>
    <w:p>
      <w:pPr>
        <w:pStyle w:val="Normal"/>
        <w:widowControl/>
        <w:suppressAutoHyphens w:val="false"/>
        <w:jc w:val="right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к Порядку проведения мониторинга </w:t>
      </w:r>
    </w:p>
    <w:p>
      <w:pPr>
        <w:pStyle w:val="Normal"/>
        <w:widowControl/>
        <w:suppressAutoHyphens w:val="false"/>
        <w:jc w:val="right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доступности объектов в приоритетных </w:t>
      </w:r>
    </w:p>
    <w:p>
      <w:pPr>
        <w:pStyle w:val="Normal"/>
        <w:widowControl/>
        <w:suppressAutoHyphens w:val="false"/>
        <w:jc w:val="right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>сферах жизнедеятельности инвалидов</w:t>
      </w:r>
    </w:p>
    <w:p>
      <w:pPr>
        <w:pStyle w:val="Normal"/>
        <w:widowControl/>
        <w:suppressAutoHyphens w:val="false"/>
        <w:jc w:val="center"/>
        <w:rPr>
          <w:rFonts w:ascii="Times New Roman" w:hAnsi="Times New Roman" w:eastAsia="Calibri"/>
          <w:kern w:val="0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0"/>
          <w:sz w:val="28"/>
          <w:szCs w:val="28"/>
          <w:lang w:eastAsia="en-US"/>
        </w:rPr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false"/>
        <w:jc w:val="center"/>
        <w:rPr>
          <w:rFonts w:ascii="Times New Roman" w:hAnsi="Times New Roman" w:eastAsia="Calibri"/>
          <w:kern w:val="0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0"/>
          <w:sz w:val="28"/>
          <w:szCs w:val="28"/>
          <w:lang w:eastAsia="en-US"/>
        </w:rPr>
        <w:t xml:space="preserve">ПЕРЕЧЕНЬ 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false"/>
        <w:jc w:val="center"/>
        <w:rPr>
          <w:rFonts w:ascii="Times New Roman" w:hAnsi="Times New Roman" w:eastAsia="Calibri"/>
          <w:kern w:val="0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0"/>
          <w:sz w:val="28"/>
          <w:szCs w:val="28"/>
          <w:lang w:eastAsia="en-US"/>
        </w:rPr>
        <w:t xml:space="preserve">объектов в приоритетных сферах жизнедеятельности инвалидов, находящихся в муниципальной собственности, прошедших паспортизацию в сфере </w:t>
      </w:r>
      <w:r>
        <w:rPr>
          <w:rFonts w:eastAsia="Calibri" w:ascii="Times New Roman" w:hAnsi="Times New Roman"/>
          <w:kern w:val="0"/>
          <w:sz w:val="28"/>
          <w:szCs w:val="28"/>
          <w:u w:val="single"/>
          <w:lang w:eastAsia="en-US"/>
        </w:rPr>
        <w:t>образования</w:t>
      </w:r>
      <w:r>
        <w:rPr>
          <w:rFonts w:eastAsia="Calibri" w:ascii="Times New Roman" w:hAnsi="Times New Roman"/>
          <w:kern w:val="0"/>
          <w:sz w:val="28"/>
          <w:szCs w:val="28"/>
          <w:u w:val="single"/>
          <w:lang w:eastAsia="en-US"/>
        </w:rPr>
        <w:t xml:space="preserve"> </w:t>
      </w:r>
      <w:r>
        <w:rPr>
          <w:rFonts w:eastAsia="Calibri" w:ascii="Times New Roman" w:hAnsi="Times New Roman"/>
          <w:kern w:val="0"/>
          <w:sz w:val="28"/>
          <w:szCs w:val="28"/>
          <w:lang w:eastAsia="en-US"/>
        </w:rPr>
        <w:t xml:space="preserve">за </w:t>
      </w:r>
      <w:r>
        <w:rPr>
          <w:rFonts w:eastAsia="Calibri" w:ascii="Times New Roman" w:hAnsi="Times New Roman"/>
          <w:kern w:val="0"/>
          <w:sz w:val="28"/>
          <w:szCs w:val="28"/>
          <w:u w:val="single"/>
          <w:lang w:eastAsia="en-US"/>
        </w:rPr>
        <w:t xml:space="preserve">2024 </w:t>
      </w:r>
      <w:r>
        <w:rPr>
          <w:rFonts w:eastAsia="Calibri" w:ascii="Times New Roman" w:hAnsi="Times New Roman"/>
          <w:kern w:val="0"/>
          <w:sz w:val="28"/>
          <w:szCs w:val="28"/>
          <w:lang w:eastAsia="en-US"/>
        </w:rPr>
        <w:t>год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false"/>
        <w:jc w:val="center"/>
        <w:rPr>
          <w:rFonts w:ascii="Times New Roman" w:hAnsi="Times New Roman" w:eastAsia="Calibri"/>
          <w:kern w:val="0"/>
          <w:sz w:val="24"/>
          <w:lang w:eastAsia="en-US"/>
        </w:rPr>
      </w:pPr>
      <w:r>
        <w:rPr>
          <w:rFonts w:eastAsia="Calibri" w:ascii="Times New Roman" w:hAnsi="Times New Roman"/>
          <w:kern w:val="0"/>
          <w:sz w:val="24"/>
          <w:lang w:eastAsia="en-US"/>
        </w:rPr>
        <w:t xml:space="preserve">                              </w:t>
      </w:r>
      <w:r>
        <w:rPr>
          <w:rFonts w:eastAsia="Calibri" w:ascii="Times New Roman" w:hAnsi="Times New Roman"/>
          <w:kern w:val="0"/>
          <w:sz w:val="24"/>
          <w:lang w:eastAsia="en-US"/>
        </w:rPr>
        <w:t>(указывается приоритетная сфера)</w:t>
      </w:r>
    </w:p>
    <w:p>
      <w:pPr>
        <w:pStyle w:val="Normal"/>
        <w:widowControl/>
        <w:suppressAutoHyphens w:val="false"/>
        <w:jc w:val="center"/>
        <w:rPr>
          <w:rFonts w:ascii="Times New Roman" w:hAnsi="Times New Roman" w:eastAsia="Times New Roman"/>
          <w:kern w:val="0"/>
          <w:sz w:val="28"/>
          <w:szCs w:val="28"/>
          <w:lang w:eastAsia="en-US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en-US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firstRow="1" w:noVBand="1" w:lastRow="0" w:firstColumn="1" w:lastColumn="0" w:noHBand="0" w:val="04a0"/>
      </w:tblPr>
      <w:tblGrid>
        <w:gridCol w:w="415"/>
        <w:gridCol w:w="1120"/>
        <w:gridCol w:w="796"/>
        <w:gridCol w:w="1062"/>
        <w:gridCol w:w="1110"/>
        <w:gridCol w:w="1084"/>
        <w:gridCol w:w="1055"/>
        <w:gridCol w:w="1078"/>
        <w:gridCol w:w="580"/>
        <w:gridCol w:w="580"/>
        <w:gridCol w:w="580"/>
        <w:gridCol w:w="580"/>
        <w:gridCol w:w="670"/>
        <w:gridCol w:w="1378"/>
        <w:gridCol w:w="1246"/>
        <w:gridCol w:w="1232"/>
      </w:tblGrid>
      <w:tr>
        <w:trPr>
          <w:trHeight w:val="555" w:hRule="atLeast"/>
        </w:trPr>
        <w:tc>
          <w:tcPr>
            <w:tcW w:w="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 xml:space="preserve">№ </w:t>
            </w: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п/п</w:t>
            </w:r>
          </w:p>
        </w:tc>
        <w:tc>
          <w:tcPr>
            <w:tcW w:w="29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1. Общие сведения об объекте</w:t>
            </w:r>
          </w:p>
        </w:tc>
        <w:tc>
          <w:tcPr>
            <w:tcW w:w="3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2. Характеристика деятельности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(по обслуживанию населения)</w:t>
            </w:r>
          </w:p>
        </w:tc>
        <w:tc>
          <w:tcPr>
            <w:tcW w:w="40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3. Состояние доступности объекта</w:t>
            </w:r>
          </w:p>
        </w:tc>
        <w:tc>
          <w:tcPr>
            <w:tcW w:w="3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4. Управленческое решение</w:t>
            </w:r>
          </w:p>
        </w:tc>
      </w:tr>
      <w:tr>
        <w:trPr>
          <w:trHeight w:val="849" w:hRule="atLeast"/>
        </w:trPr>
        <w:tc>
          <w:tcPr>
            <w:tcW w:w="4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полное наименование объекта</w:t>
            </w: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адрес объекта</w:t>
            </w:r>
          </w:p>
        </w:tc>
        <w:tc>
          <w:tcPr>
            <w:tcW w:w="1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реквизиты паспорта доступности объекта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виды оказываемых услуг</w:t>
            </w:r>
          </w:p>
        </w:tc>
        <w:tc>
          <w:tcPr>
            <w:tcW w:w="1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категории инвалидов, получающих услуги на объекте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исполнитель ИПРА (да/нет)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вариант обустройства объекта</w:t>
            </w:r>
          </w:p>
        </w:tc>
        <w:tc>
          <w:tcPr>
            <w:tcW w:w="2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состояние доступности для отдельных категорий инвалидов</w:t>
            </w:r>
          </w:p>
        </w:tc>
        <w:tc>
          <w:tcPr>
            <w:tcW w:w="1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виды работ по адаптации для инвалидов</w:t>
            </w:r>
          </w:p>
        </w:tc>
        <w:tc>
          <w:tcPr>
            <w:tcW w:w="12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плановый период (срок) выполнения работ по адаптации для инвалидов</w:t>
            </w:r>
          </w:p>
        </w:tc>
        <w:tc>
          <w:tcPr>
            <w:tcW w:w="1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ожидаемый результат (по состоянию доступности)</w:t>
            </w:r>
          </w:p>
        </w:tc>
      </w:tr>
      <w:tr>
        <w:trPr>
          <w:trHeight w:val="621" w:hRule="atLeast"/>
        </w:trPr>
        <w:tc>
          <w:tcPr>
            <w:tcW w:w="4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1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7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0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1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0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0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0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Г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К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О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С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У</w:t>
            </w:r>
          </w:p>
        </w:tc>
        <w:tc>
          <w:tcPr>
            <w:tcW w:w="13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2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2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</w:tr>
    </w:tbl>
    <w:p>
      <w:pPr>
        <w:pStyle w:val="Normal"/>
        <w:widowControl/>
        <w:suppressAutoHyphens w:val="false"/>
        <w:rPr>
          <w:rFonts w:ascii="Times New Roman" w:hAnsi="Times New Roman" w:eastAsia="Times New Roman"/>
          <w:kern w:val="0"/>
          <w:sz w:val="2"/>
          <w:szCs w:val="2"/>
          <w:lang w:eastAsia="ru-RU"/>
        </w:rPr>
      </w:pPr>
      <w:r>
        <w:rPr>
          <w:rFonts w:eastAsia="Times New Roman" w:ascii="Times New Roman" w:hAnsi="Times New Roman"/>
          <w:kern w:val="0"/>
          <w:sz w:val="2"/>
          <w:szCs w:val="2"/>
          <w:lang w:eastAsia="ru-RU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firstRow="1" w:noVBand="1" w:lastRow="0" w:firstColumn="1" w:lastColumn="0" w:noHBand="0" w:val="04a0"/>
      </w:tblPr>
      <w:tblGrid>
        <w:gridCol w:w="415"/>
        <w:gridCol w:w="1120"/>
        <w:gridCol w:w="796"/>
        <w:gridCol w:w="1062"/>
        <w:gridCol w:w="1110"/>
        <w:gridCol w:w="1084"/>
        <w:gridCol w:w="1055"/>
        <w:gridCol w:w="1078"/>
        <w:gridCol w:w="580"/>
        <w:gridCol w:w="580"/>
        <w:gridCol w:w="580"/>
        <w:gridCol w:w="580"/>
        <w:gridCol w:w="670"/>
        <w:gridCol w:w="1378"/>
        <w:gridCol w:w="1246"/>
        <w:gridCol w:w="1232"/>
      </w:tblGrid>
      <w:tr>
        <w:trPr>
          <w:trHeight w:val="315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3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5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6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7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9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13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14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15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16</w:t>
            </w:r>
          </w:p>
        </w:tc>
      </w:tr>
      <w:tr>
        <w:trPr>
          <w:trHeight w:val="315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Муниципальное бюджетное дошкольное образовательное учреждение детский сад комбинированного № 15 города Каменск-Шахтинский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347820, Ростовская обл., г. Каменск-Шахтинский, мкр. Лиховской, ул. Вокзальная, 110А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2016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 xml:space="preserve">Присмотр и уход, дошкольн ое образован ие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0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0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ДЧ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ДЧ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ДУ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ДУ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ДЧ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ДУ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 xml:space="preserve">«организаци я альтернативн ой формы обслуживани я».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  <w:t>2027-2030г.г.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eastAsia="Times New Roman"/>
                <w:color w:val="000000"/>
                <w:kern w:val="0"/>
                <w:sz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0"/>
                <w:sz w:val="24"/>
                <w:lang w:eastAsia="ru-RU"/>
              </w:rPr>
            </w:r>
          </w:p>
        </w:tc>
      </w:tr>
    </w:tbl>
    <w:p>
      <w:pPr>
        <w:pStyle w:val="Normal"/>
        <w:widowControl/>
        <w:suppressAutoHyphens w:val="false"/>
        <w:ind w:firstLine="709"/>
        <w:rPr>
          <w:rFonts w:ascii="Times New Roman" w:hAnsi="Times New Roman" w:eastAsia="Times New Roman"/>
          <w:kern w:val="0"/>
          <w:sz w:val="28"/>
          <w:szCs w:val="28"/>
          <w:lang w:eastAsia="en-US"/>
        </w:rPr>
      </w:pPr>
      <w:r>
        <w:rPr>
          <w:rFonts w:eastAsia="Times New Roman" w:ascii="Times New Roman" w:hAnsi="Times New Roman"/>
          <w:kern w:val="0"/>
          <w:sz w:val="28"/>
          <w:szCs w:val="28"/>
          <w:lang w:eastAsia="en-US"/>
        </w:rPr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Примечание.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Используемые обозначения: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Г – инвалиды с нарушением функции слуха;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ИПРА – индивидуальная программа реабилитации и абилитации инвалида/ребенка-инвалида;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К – инвалиды-колясочники; О – инвалиды с заболеванием опорно-двигательного аппарата; С – инвалиды с нарушением функций зрения;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У – инвалиды с нарушением умственного развития. Рекомендации по заполнению: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в графе 4 указывается номер и дата утверждения паспорта доступности объекта, наименование общественной организации, с кем согласован паспорт доступности;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в графе 8 указывается один из двух вариантов организации доступности (не учитывая обслуживания на дому): вариант «А» – доступность для инвалидов любого места обслуживания в общественном здании; вариант «Б» – выделение в уровне входной площадки специальных помещений, зон или блоков, приспособленных и оборудованных для инвалидов;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в графах 9 – 13, 16 указывается один из вариантов: ДП – доступно полностью; ДЧ – доступно частично; ДУ – доступно условно, ВНД – временно недоступно. Состояние доступности определяется в соответствии с технологией оценки состояния доступности и классификацией объектов социальной инфраструктуры и услуг в приоритетных сферах жизнедеятельности инвалидов и других маломобильных групп населения, утвержденной Приказом Минтруда России от 25.12.2012 № 627 «Об утверждении методики,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возможностью учета региональной специфики»; </w:t>
      </w:r>
    </w:p>
    <w:p>
      <w:pPr>
        <w:pStyle w:val="Normal"/>
        <w:widowControl/>
        <w:tabs>
          <w:tab w:val="clear" w:pos="709"/>
          <w:tab w:val="left" w:pos="5387" w:leader="none"/>
        </w:tabs>
        <w:suppressAutoHyphens w:val="false"/>
        <w:ind w:firstLine="709"/>
        <w:jc w:val="both"/>
        <w:rPr>
          <w:rFonts w:ascii="Times New Roman" w:hAnsi="Times New Roman" w:eastAsia="Calibri"/>
          <w:kern w:val="2"/>
          <w:sz w:val="28"/>
          <w:szCs w:val="28"/>
          <w:lang w:eastAsia="en-US"/>
        </w:rPr>
      </w:pPr>
      <w:r>
        <w:rPr>
          <w:rFonts w:eastAsia="Calibri" w:ascii="Times New Roman" w:hAnsi="Times New Roman"/>
          <w:kern w:val="2"/>
          <w:sz w:val="28"/>
          <w:szCs w:val="28"/>
          <w:lang w:eastAsia="en-US"/>
        </w:rPr>
        <w:t xml:space="preserve">в графе 14 указывается один из вариантов: «текущий ремонт», «капитальный ремонт», «индивидуальное решение с техническими средствами реабилитации», «организация альтернативной формы обслуживания». </w:t>
      </w:r>
    </w:p>
    <w:sectPr>
      <w:type w:val="nextPage"/>
      <w:pgSz w:orient="landscape" w:w="16838" w:h="11906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0"/>
  <w:defaultTabStop w:val="709"/>
  <w:autoHyphenation w:val="true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imes New Roman"/>
      <w:color w:val="auto"/>
      <w:kern w:val="2"/>
      <w:sz w:val="20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pPr>
      <w:keepNext w:val="true"/>
      <w:jc w:val="both"/>
      <w:outlineLvl w:val="0"/>
    </w:pPr>
    <w:rPr>
      <w:sz w:val="28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320ca8"/>
    <w:pPr>
      <w:keepNext w:val="true"/>
      <w:spacing w:before="240" w:after="60"/>
      <w:outlineLvl w:val="3"/>
    </w:pPr>
    <w:rPr>
      <w:rFonts w:ascii="Calibri" w:hAnsi="Calibri" w:eastAsia="Times New Roman"/>
      <w:b/>
      <w:bCs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2" w:customStyle="1">
    <w:name w:val="Основной шрифт абзаца2"/>
    <w:qFormat/>
    <w:rPr/>
  </w:style>
  <w:style w:type="character" w:styleId="Rvts7" w:customStyle="1">
    <w:name w:val="rvts7"/>
    <w:basedOn w:val="2"/>
    <w:qFormat/>
    <w:rPr/>
  </w:style>
  <w:style w:type="character" w:styleId="11" w:customStyle="1">
    <w:name w:val="Основной шрифт абзаца1"/>
    <w:qFormat/>
    <w:rPr/>
  </w:style>
  <w:style w:type="character" w:styleId="FontStyle37" w:customStyle="1">
    <w:name w:val="Font Style37"/>
    <w:qFormat/>
    <w:rPr>
      <w:rFonts w:ascii="Times New Roman" w:hAnsi="Times New Roman" w:cs="Times New Roman"/>
      <w:sz w:val="26"/>
      <w:szCs w:val="26"/>
    </w:rPr>
  </w:style>
  <w:style w:type="character" w:styleId="Style12" w:customStyle="1">
    <w:name w:val="Текст выноски Знак"/>
    <w:link w:val="a7"/>
    <w:uiPriority w:val="99"/>
    <w:semiHidden/>
    <w:qFormat/>
    <w:rsid w:val="00160492"/>
    <w:rPr>
      <w:rFonts w:ascii="Tahoma" w:hAnsi="Tahoma" w:eastAsia="Lucida Sans Unicode" w:cs="Tahoma"/>
      <w:kern w:val="2"/>
      <w:sz w:val="16"/>
      <w:szCs w:val="16"/>
    </w:rPr>
  </w:style>
  <w:style w:type="character" w:styleId="Style13" w:customStyle="1">
    <w:name w:val="Основной текст Знак"/>
    <w:link w:val="a4"/>
    <w:semiHidden/>
    <w:qFormat/>
    <w:rsid w:val="005e349a"/>
    <w:rPr>
      <w:rFonts w:ascii="Arial" w:hAnsi="Arial" w:eastAsia="Lucida Sans Unicode"/>
      <w:kern w:val="2"/>
      <w:szCs w:val="24"/>
    </w:rPr>
  </w:style>
  <w:style w:type="character" w:styleId="FontStyle49" w:customStyle="1">
    <w:name w:val="Font Style49"/>
    <w:qFormat/>
    <w:rsid w:val="00320ca8"/>
    <w:rPr>
      <w:rFonts w:ascii="Times New Roman" w:hAnsi="Times New Roman" w:cs="Times New Roman"/>
      <w:sz w:val="22"/>
      <w:szCs w:val="22"/>
    </w:rPr>
  </w:style>
  <w:style w:type="character" w:styleId="41" w:customStyle="1">
    <w:name w:val="Заголовок 4 Знак"/>
    <w:link w:val="4"/>
    <w:uiPriority w:val="9"/>
    <w:semiHidden/>
    <w:qFormat/>
    <w:rsid w:val="00320ca8"/>
    <w:rPr>
      <w:rFonts w:ascii="Calibri" w:hAnsi="Calibri" w:eastAsia="Times New Roman" w:cs="Times New Roman"/>
      <w:b/>
      <w:bCs/>
      <w:kern w:val="2"/>
      <w:sz w:val="28"/>
      <w:szCs w:val="28"/>
    </w:rPr>
  </w:style>
  <w:style w:type="character" w:styleId="Strong">
    <w:name w:val="Strong"/>
    <w:uiPriority w:val="22"/>
    <w:qFormat/>
    <w:rsid w:val="00320ca8"/>
    <w:rPr>
      <w:b/>
      <w:bCs/>
    </w:rPr>
  </w:style>
  <w:style w:type="character" w:styleId="Style14" w:customStyle="1">
    <w:name w:val="Верхний колонтитул Знак"/>
    <w:link w:val="ab"/>
    <w:uiPriority w:val="99"/>
    <w:qFormat/>
    <w:rsid w:val="00c76dba"/>
    <w:rPr>
      <w:rFonts w:ascii="Arial" w:hAnsi="Arial" w:eastAsia="Lucida Sans Unicode"/>
      <w:kern w:val="2"/>
      <w:szCs w:val="24"/>
    </w:rPr>
  </w:style>
  <w:style w:type="character" w:styleId="Style15" w:customStyle="1">
    <w:name w:val="Нижний колонтитул Знак"/>
    <w:link w:val="ad"/>
    <w:uiPriority w:val="99"/>
    <w:qFormat/>
    <w:rsid w:val="00c76dba"/>
    <w:rPr>
      <w:rFonts w:ascii="Arial" w:hAnsi="Arial" w:eastAsia="Lucida Sans Unicode"/>
      <w:kern w:val="2"/>
      <w:szCs w:val="24"/>
    </w:rPr>
  </w:style>
  <w:style w:type="character" w:styleId="Style16">
    <w:name w:val="Интернет-ссылка"/>
    <w:uiPriority w:val="99"/>
    <w:unhideWhenUsed/>
    <w:rsid w:val="00c70161"/>
    <w:rPr>
      <w:color w:val="0000FF"/>
      <w:u w:val="single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cs="Tahoma"/>
      <w:sz w:val="28"/>
      <w:szCs w:val="28"/>
    </w:rPr>
  </w:style>
  <w:style w:type="paragraph" w:styleId="Style18">
    <w:name w:val="Body Text"/>
    <w:basedOn w:val="Normal"/>
    <w:link w:val="a5"/>
    <w:semiHidden/>
    <w:pPr>
      <w:spacing w:before="0" w:after="120"/>
    </w:pPr>
    <w:rPr>
      <w:lang w:val="x-none"/>
    </w:rPr>
  </w:style>
  <w:style w:type="paragraph" w:styleId="Style19">
    <w:name w:val="List"/>
    <w:basedOn w:val="Style18"/>
    <w:semiHidden/>
    <w:pPr/>
    <w:rPr>
      <w:rFonts w:cs="Tahoma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Tahoma"/>
    </w:rPr>
  </w:style>
  <w:style w:type="paragraph" w:styleId="Rvps3" w:customStyle="1">
    <w:name w:val="rvps3"/>
    <w:basedOn w:val="Normal"/>
    <w:qFormat/>
    <w:pPr>
      <w:spacing w:before="280" w:after="280"/>
    </w:pPr>
    <w:rPr>
      <w:color w:val="000000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160492"/>
    <w:pPr/>
    <w:rPr>
      <w:rFonts w:ascii="Tahoma" w:hAnsi="Tahoma"/>
      <w:sz w:val="16"/>
      <w:szCs w:val="16"/>
      <w:lang w:val="x-none"/>
    </w:rPr>
  </w:style>
  <w:style w:type="paragraph" w:styleId="ConsPlusTitle" w:customStyle="1">
    <w:name w:val="ConsPlusTitle"/>
    <w:qFormat/>
    <w:rsid w:val="00da1c15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ac"/>
    <w:uiPriority w:val="99"/>
    <w:unhideWhenUsed/>
    <w:rsid w:val="00c76db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ae"/>
    <w:uiPriority w:val="99"/>
    <w:unhideWhenUsed/>
    <w:rsid w:val="00c76db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1604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34F74-008B-4450-B03B-5A7826D55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LibreOffice/7.2.5.2$Windows_X86_64 LibreOffice_project/499f9727c189e6ef3471021d6132d4c694f357e5</Application>
  <AppVersion>15.0000</AppVersion>
  <Pages>4</Pages>
  <Words>720</Words>
  <Characters>4858</Characters>
  <CharactersWithSpaces>5546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2024-03-11T10:12:00Z</dcterms:created>
  <dc:creator>admin</dc:creator>
  <dc:description/>
  <dc:language>ru-RU</dc:language>
  <cp:lastModifiedBy/>
  <cp:lastPrinted>2020-09-21T09:27:00Z</cp:lastPrinted>
  <dcterms:modified xsi:type="dcterms:W3CDTF">2025-01-23T11:54:25Z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